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768036A4" w:rsidR="00BD0E61" w:rsidRPr="003A2E8E" w:rsidRDefault="000D4CFB" w:rsidP="003A2E8E">
      <w:pPr>
        <w:jc w:val="center"/>
        <w:rPr>
          <w:rFonts w:ascii="Calibri" w:eastAsia="Times New Roman" w:hAnsi="Calibri" w:cs="Calibri"/>
          <w:i/>
          <w:iCs/>
        </w:rPr>
      </w:pPr>
      <w:r w:rsidRPr="00E657BF">
        <w:rPr>
          <w:rFonts w:ascii="Calibri" w:eastAsia="Times New Roman" w:hAnsi="Calibri" w:cs="Calibri"/>
          <w:i/>
          <w:iCs/>
        </w:rPr>
        <w:t>nota stampa</w:t>
      </w:r>
      <w:r w:rsidR="003E3538" w:rsidRPr="00E657BF">
        <w:rPr>
          <w:rFonts w:ascii="Calibri" w:eastAsia="Times New Roman" w:hAnsi="Calibri" w:cs="Calibri"/>
          <w:i/>
          <w:iCs/>
        </w:rPr>
        <w:t xml:space="preserve"> n. 3</w:t>
      </w:r>
    </w:p>
    <w:p w14:paraId="4340C5F3" w14:textId="4A9ED826" w:rsidR="00C42C91" w:rsidRPr="00C42C91" w:rsidRDefault="00971662" w:rsidP="003A2E8E">
      <w:pPr>
        <w:jc w:val="center"/>
        <w:rPr>
          <w:b/>
          <w:bCs/>
        </w:rPr>
      </w:pPr>
      <w:r w:rsidRPr="002C1C79">
        <w:rPr>
          <w:b/>
          <w:bCs/>
        </w:rPr>
        <w:t xml:space="preserve">IEG, </w:t>
      </w:r>
      <w:r w:rsidR="00BD0E61" w:rsidRPr="002C1C79">
        <w:rPr>
          <w:b/>
          <w:bCs/>
        </w:rPr>
        <w:t xml:space="preserve">I TREND </w:t>
      </w:r>
      <w:r w:rsidR="005E5262">
        <w:rPr>
          <w:b/>
          <w:bCs/>
        </w:rPr>
        <w:t xml:space="preserve">INTERNAZIONALI </w:t>
      </w:r>
      <w:r w:rsidR="00BD0E61" w:rsidRPr="002C1C79">
        <w:rPr>
          <w:b/>
          <w:bCs/>
        </w:rPr>
        <w:t xml:space="preserve">CHE GUIDERANNO SIGEP WORLD </w:t>
      </w:r>
      <w:r w:rsidR="00C42C91">
        <w:rPr>
          <w:b/>
          <w:bCs/>
        </w:rPr>
        <w:t>2026</w:t>
      </w:r>
    </w:p>
    <w:p w14:paraId="6CBE342D" w14:textId="000443F2" w:rsidR="005F6BD9" w:rsidRPr="005F6BD9" w:rsidRDefault="005F6BD9" w:rsidP="005F6BD9">
      <w:pPr>
        <w:jc w:val="both"/>
        <w:rPr>
          <w:rFonts w:ascii="Calibri" w:hAnsi="Calibri" w:cs="Calibri"/>
          <w:b/>
          <w:bCs/>
        </w:rPr>
      </w:pPr>
      <w:r w:rsidRPr="005F6BD9">
        <w:rPr>
          <w:rFonts w:ascii="Calibri" w:hAnsi="Calibri" w:cs="Calibri"/>
          <w:b/>
          <w:bCs/>
        </w:rPr>
        <w:t xml:space="preserve">• </w:t>
      </w:r>
      <w:r w:rsidR="005E5262">
        <w:rPr>
          <w:rFonts w:ascii="Calibri" w:hAnsi="Calibri" w:cs="Calibri"/>
          <w:b/>
          <w:bCs/>
        </w:rPr>
        <w:t xml:space="preserve">Il roadshow di </w:t>
      </w:r>
      <w:r w:rsidR="00C61D28" w:rsidRPr="00C61D28">
        <w:rPr>
          <w:rFonts w:ascii="Calibri" w:hAnsi="Calibri" w:cs="Calibri"/>
          <w:b/>
          <w:bCs/>
        </w:rPr>
        <w:t xml:space="preserve">Madrid segna una tappa chiave nel percorso verso la grande manifestazione firmata </w:t>
      </w:r>
      <w:proofErr w:type="spellStart"/>
      <w:r w:rsidR="00C61D28" w:rsidRPr="00C61D28">
        <w:rPr>
          <w:rFonts w:ascii="Calibri" w:hAnsi="Calibri" w:cs="Calibri"/>
          <w:b/>
          <w:bCs/>
        </w:rPr>
        <w:t>Italian</w:t>
      </w:r>
      <w:proofErr w:type="spellEnd"/>
      <w:r w:rsidR="00C61D28" w:rsidRPr="00C61D28">
        <w:rPr>
          <w:rFonts w:ascii="Calibri" w:hAnsi="Calibri" w:cs="Calibri"/>
          <w:b/>
          <w:bCs/>
        </w:rPr>
        <w:t xml:space="preserve"> </w:t>
      </w:r>
      <w:proofErr w:type="spellStart"/>
      <w:r w:rsidR="00C61D28" w:rsidRPr="00C61D28">
        <w:rPr>
          <w:rFonts w:ascii="Calibri" w:hAnsi="Calibri" w:cs="Calibri"/>
          <w:b/>
          <w:bCs/>
        </w:rPr>
        <w:t>Exhibition</w:t>
      </w:r>
      <w:proofErr w:type="spellEnd"/>
      <w:r w:rsidR="00C61D28" w:rsidRPr="00C61D28">
        <w:rPr>
          <w:rFonts w:ascii="Calibri" w:hAnsi="Calibri" w:cs="Calibri"/>
          <w:b/>
          <w:bCs/>
        </w:rPr>
        <w:t xml:space="preserve"> Group che si terrà a</w:t>
      </w:r>
      <w:r w:rsidR="00C61D28">
        <w:rPr>
          <w:rFonts w:ascii="Calibri" w:hAnsi="Calibri" w:cs="Calibri"/>
          <w:b/>
          <w:bCs/>
        </w:rPr>
        <w:t>lla Fiera di</w:t>
      </w:r>
      <w:r w:rsidR="00C61D28" w:rsidRPr="00C61D28">
        <w:rPr>
          <w:rFonts w:ascii="Calibri" w:hAnsi="Calibri" w:cs="Calibri"/>
          <w:b/>
          <w:bCs/>
        </w:rPr>
        <w:t xml:space="preserve"> Rimini dal 16 al 20 gennaio 202</w:t>
      </w:r>
      <w:r w:rsidR="00C61D28">
        <w:rPr>
          <w:rFonts w:ascii="Calibri" w:hAnsi="Calibri" w:cs="Calibri"/>
          <w:b/>
          <w:bCs/>
        </w:rPr>
        <w:t>6</w:t>
      </w:r>
    </w:p>
    <w:p w14:paraId="2DA988E6" w14:textId="77777777" w:rsidR="00F25CAC" w:rsidRDefault="005F6BD9" w:rsidP="005F6BD9">
      <w:pPr>
        <w:jc w:val="both"/>
        <w:rPr>
          <w:rFonts w:ascii="Calibri" w:hAnsi="Calibri" w:cs="Calibri"/>
          <w:b/>
          <w:bCs/>
        </w:rPr>
      </w:pPr>
      <w:r w:rsidRPr="005F6BD9">
        <w:rPr>
          <w:rFonts w:ascii="Calibri" w:hAnsi="Calibri" w:cs="Calibri"/>
          <w:b/>
          <w:bCs/>
        </w:rPr>
        <w:t xml:space="preserve">• </w:t>
      </w:r>
      <w:r w:rsidR="00F25CAC" w:rsidRPr="00F25CAC">
        <w:rPr>
          <w:rFonts w:ascii="Calibri" w:hAnsi="Calibri" w:cs="Calibri"/>
          <w:b/>
          <w:bCs/>
        </w:rPr>
        <w:t xml:space="preserve">La Spagna è il mercato più dinamico del fuori casa in Europa: </w:t>
      </w:r>
      <w:r w:rsidR="00F25CAC">
        <w:rPr>
          <w:rFonts w:ascii="Calibri" w:hAnsi="Calibri" w:cs="Calibri"/>
          <w:b/>
          <w:bCs/>
        </w:rPr>
        <w:t>è cresciuto</w:t>
      </w:r>
      <w:r w:rsidR="00F25CAC" w:rsidRPr="00F25CAC">
        <w:rPr>
          <w:rFonts w:ascii="Calibri" w:hAnsi="Calibri" w:cs="Calibri"/>
          <w:b/>
          <w:bCs/>
        </w:rPr>
        <w:t xml:space="preserve"> del +2,4% nei primi nove mesi del 2025 e traina la media dei cinque principali mercati europei, che si attesta al +1,8%</w:t>
      </w:r>
      <w:r w:rsidR="00F25CAC">
        <w:rPr>
          <w:rFonts w:ascii="Calibri" w:hAnsi="Calibri" w:cs="Calibri"/>
          <w:b/>
          <w:bCs/>
        </w:rPr>
        <w:t>. E d</w:t>
      </w:r>
      <w:r w:rsidR="00F25CAC" w:rsidRPr="00F25CAC">
        <w:rPr>
          <w:rFonts w:ascii="Calibri" w:hAnsi="Calibri" w:cs="Calibri"/>
          <w:b/>
          <w:bCs/>
        </w:rPr>
        <w:t>al roadshow si aprono nuove agende di lavoro tra imprese italiane e gruppi iberici</w:t>
      </w:r>
    </w:p>
    <w:p w14:paraId="745A6526" w14:textId="0A2EBC6F" w:rsidR="005F6BD9" w:rsidRPr="005F6BD9" w:rsidRDefault="005F6BD9" w:rsidP="005F6BD9">
      <w:pPr>
        <w:jc w:val="both"/>
        <w:rPr>
          <w:rFonts w:ascii="Calibri" w:hAnsi="Calibri" w:cs="Calibri"/>
          <w:b/>
          <w:bCs/>
        </w:rPr>
      </w:pPr>
      <w:r w:rsidRPr="005F6BD9">
        <w:rPr>
          <w:rFonts w:ascii="Calibri" w:hAnsi="Calibri" w:cs="Calibri"/>
          <w:b/>
          <w:bCs/>
        </w:rPr>
        <w:t>• A Rimini, il gelato si consolid</w:t>
      </w:r>
      <w:r w:rsidR="00425A1E">
        <w:rPr>
          <w:rFonts w:ascii="Calibri" w:hAnsi="Calibri" w:cs="Calibri"/>
          <w:b/>
          <w:bCs/>
        </w:rPr>
        <w:t>erà</w:t>
      </w:r>
      <w:r w:rsidRPr="005F6BD9">
        <w:rPr>
          <w:rFonts w:ascii="Calibri" w:hAnsi="Calibri" w:cs="Calibri"/>
          <w:b/>
          <w:bCs/>
        </w:rPr>
        <w:t xml:space="preserve"> come linguaggio gastronomico globale, mentre cresce l’attenzione per i bar di nuova generazione e si struttura la filiera completa della pizza</w:t>
      </w:r>
    </w:p>
    <w:p w14:paraId="4AE75824" w14:textId="6E30DE12" w:rsidR="005F6BD9" w:rsidRPr="005F6BD9" w:rsidRDefault="005F6BD9" w:rsidP="005F6BD9">
      <w:pPr>
        <w:jc w:val="both"/>
        <w:rPr>
          <w:rFonts w:ascii="Calibri" w:hAnsi="Calibri" w:cs="Calibri"/>
          <w:b/>
          <w:bCs/>
        </w:rPr>
      </w:pPr>
      <w:r w:rsidRPr="005F6BD9">
        <w:rPr>
          <w:rFonts w:ascii="Calibri" w:hAnsi="Calibri" w:cs="Calibri"/>
          <w:b/>
          <w:bCs/>
        </w:rPr>
        <w:t>• L’India confermata Guest Country 2026, a testimonianza dell’interesse dei mercati in espansione verso format e modelli contemporanei del fuori casa</w:t>
      </w:r>
    </w:p>
    <w:p w14:paraId="282D484D" w14:textId="77777777" w:rsidR="005F6BD9" w:rsidRPr="005F6BD9" w:rsidRDefault="005F6BD9" w:rsidP="005F6BD9">
      <w:pPr>
        <w:jc w:val="center"/>
        <w:rPr>
          <w:rFonts w:ascii="Calibri" w:hAnsi="Calibri" w:cs="Calibri"/>
          <w:i/>
          <w:iCs/>
          <w:sz w:val="22"/>
          <w:szCs w:val="22"/>
        </w:rPr>
      </w:pPr>
      <w:r w:rsidRPr="005F6BD9">
        <w:rPr>
          <w:rFonts w:ascii="Calibri" w:hAnsi="Calibri" w:cs="Calibri"/>
          <w:i/>
          <w:iCs/>
          <w:sz w:val="22"/>
          <w:szCs w:val="22"/>
        </w:rPr>
        <w:t>sigep.it</w:t>
      </w:r>
    </w:p>
    <w:p w14:paraId="6C3B8909" w14:textId="25578EDA" w:rsidR="005F6BD9" w:rsidRDefault="005F6BD9" w:rsidP="0021173B">
      <w:pPr>
        <w:spacing w:after="0" w:line="240" w:lineRule="auto"/>
        <w:jc w:val="both"/>
        <w:rPr>
          <w:rFonts w:ascii="Calibri" w:hAnsi="Calibri" w:cs="Calibri"/>
          <w:sz w:val="22"/>
          <w:szCs w:val="22"/>
        </w:rPr>
      </w:pPr>
      <w:r w:rsidRPr="00490711">
        <w:rPr>
          <w:rFonts w:ascii="Calibri" w:hAnsi="Calibri" w:cs="Calibri"/>
          <w:i/>
          <w:iCs/>
          <w:sz w:val="22"/>
          <w:szCs w:val="22"/>
        </w:rPr>
        <w:t>Rimini,</w:t>
      </w:r>
      <w:r w:rsidR="00995F0B">
        <w:rPr>
          <w:rFonts w:ascii="Calibri" w:hAnsi="Calibri" w:cs="Calibri"/>
          <w:i/>
          <w:iCs/>
          <w:sz w:val="22"/>
          <w:szCs w:val="22"/>
        </w:rPr>
        <w:t xml:space="preserve"> 10 </w:t>
      </w:r>
      <w:r w:rsidRPr="00490711">
        <w:rPr>
          <w:rFonts w:ascii="Calibri" w:hAnsi="Calibri" w:cs="Calibri"/>
          <w:i/>
          <w:iCs/>
          <w:sz w:val="22"/>
          <w:szCs w:val="22"/>
        </w:rPr>
        <w:t>novembre 2025 —</w:t>
      </w:r>
      <w:r w:rsidRPr="00490711">
        <w:rPr>
          <w:rFonts w:ascii="Calibri" w:hAnsi="Calibri" w:cs="Calibri"/>
          <w:sz w:val="22"/>
          <w:szCs w:val="22"/>
        </w:rPr>
        <w:t xml:space="preserve"> È </w:t>
      </w:r>
      <w:r w:rsidR="00843AF9">
        <w:rPr>
          <w:rFonts w:ascii="Calibri" w:hAnsi="Calibri" w:cs="Calibri"/>
          <w:sz w:val="22"/>
          <w:szCs w:val="22"/>
        </w:rPr>
        <w:t>da Madrid</w:t>
      </w:r>
      <w:r w:rsidRPr="00490711">
        <w:rPr>
          <w:rFonts w:ascii="Calibri" w:hAnsi="Calibri" w:cs="Calibri"/>
          <w:sz w:val="22"/>
          <w:szCs w:val="22"/>
        </w:rPr>
        <w:t xml:space="preserve"> che prende slancio il percorso </w:t>
      </w:r>
      <w:r w:rsidR="00A63ED1">
        <w:rPr>
          <w:rFonts w:ascii="Calibri" w:hAnsi="Calibri" w:cs="Calibri"/>
          <w:sz w:val="22"/>
          <w:szCs w:val="22"/>
        </w:rPr>
        <w:t xml:space="preserve">internazionale </w:t>
      </w:r>
      <w:r w:rsidRPr="00490711">
        <w:rPr>
          <w:rFonts w:ascii="Calibri" w:hAnsi="Calibri" w:cs="Calibri"/>
          <w:sz w:val="22"/>
          <w:szCs w:val="22"/>
        </w:rPr>
        <w:t xml:space="preserve">verso </w:t>
      </w:r>
      <w:r w:rsidRPr="00490711">
        <w:rPr>
          <w:rFonts w:ascii="Calibri" w:hAnsi="Calibri" w:cs="Calibri"/>
          <w:b/>
          <w:bCs/>
          <w:sz w:val="22"/>
          <w:szCs w:val="22"/>
        </w:rPr>
        <w:t>SIGEP World 2026</w:t>
      </w:r>
      <w:r w:rsidRPr="00490711">
        <w:rPr>
          <w:rFonts w:ascii="Calibri" w:hAnsi="Calibri" w:cs="Calibri"/>
          <w:sz w:val="22"/>
          <w:szCs w:val="22"/>
        </w:rPr>
        <w:t xml:space="preserve">, la grande manifestazione di </w:t>
      </w:r>
      <w:proofErr w:type="spellStart"/>
      <w:r w:rsidRPr="00490711">
        <w:rPr>
          <w:rFonts w:ascii="Calibri" w:hAnsi="Calibri" w:cs="Calibri"/>
          <w:b/>
          <w:bCs/>
          <w:sz w:val="22"/>
          <w:szCs w:val="22"/>
        </w:rPr>
        <w:t>Italian</w:t>
      </w:r>
      <w:proofErr w:type="spellEnd"/>
      <w:r w:rsidRPr="00490711">
        <w:rPr>
          <w:rFonts w:ascii="Calibri" w:hAnsi="Calibri" w:cs="Calibri"/>
          <w:b/>
          <w:bCs/>
          <w:sz w:val="22"/>
          <w:szCs w:val="22"/>
        </w:rPr>
        <w:t xml:space="preserve"> </w:t>
      </w:r>
      <w:proofErr w:type="spellStart"/>
      <w:r w:rsidRPr="00490711">
        <w:rPr>
          <w:rFonts w:ascii="Calibri" w:hAnsi="Calibri" w:cs="Calibri"/>
          <w:b/>
          <w:bCs/>
          <w:sz w:val="22"/>
          <w:szCs w:val="22"/>
        </w:rPr>
        <w:t>Exhibition</w:t>
      </w:r>
      <w:proofErr w:type="spellEnd"/>
      <w:r w:rsidRPr="00490711">
        <w:rPr>
          <w:rFonts w:ascii="Calibri" w:hAnsi="Calibri" w:cs="Calibri"/>
          <w:b/>
          <w:bCs/>
          <w:sz w:val="22"/>
          <w:szCs w:val="22"/>
        </w:rPr>
        <w:t xml:space="preserve"> Group</w:t>
      </w:r>
      <w:r w:rsidRPr="00490711">
        <w:rPr>
          <w:rFonts w:ascii="Calibri" w:hAnsi="Calibri" w:cs="Calibri"/>
          <w:sz w:val="22"/>
          <w:szCs w:val="22"/>
        </w:rPr>
        <w:t xml:space="preserve"> dedicata alle filiere del gelato, della pasticceria, del cioccolato, del caffè, della panificazione e della pizza. Il </w:t>
      </w:r>
      <w:r w:rsidRPr="00490711">
        <w:rPr>
          <w:rFonts w:ascii="Calibri" w:hAnsi="Calibri" w:cs="Calibri"/>
          <w:b/>
          <w:bCs/>
          <w:sz w:val="22"/>
          <w:szCs w:val="22"/>
        </w:rPr>
        <w:t xml:space="preserve">roadshow </w:t>
      </w:r>
      <w:r w:rsidR="00843AF9">
        <w:rPr>
          <w:rFonts w:ascii="Calibri" w:hAnsi="Calibri" w:cs="Calibri"/>
          <w:b/>
          <w:bCs/>
          <w:sz w:val="22"/>
          <w:szCs w:val="22"/>
        </w:rPr>
        <w:t>nella capitale spagnola</w:t>
      </w:r>
      <w:r w:rsidRPr="00490711">
        <w:rPr>
          <w:rFonts w:ascii="Calibri" w:hAnsi="Calibri" w:cs="Calibri"/>
          <w:sz w:val="22"/>
          <w:szCs w:val="22"/>
        </w:rPr>
        <w:t>, ospitato dall’Ambasciata d’Italia</w:t>
      </w:r>
      <w:r w:rsidR="0021173B">
        <w:rPr>
          <w:rFonts w:ascii="Calibri" w:hAnsi="Calibri" w:cs="Calibri"/>
          <w:sz w:val="22"/>
          <w:szCs w:val="22"/>
        </w:rPr>
        <w:t xml:space="preserve"> e </w:t>
      </w:r>
      <w:r w:rsidR="0021173B" w:rsidRPr="0021173B">
        <w:rPr>
          <w:rFonts w:ascii="Calibri" w:hAnsi="Calibri" w:cs="Calibri"/>
          <w:sz w:val="22"/>
          <w:szCs w:val="22"/>
        </w:rPr>
        <w:t>realizzato insieme ad</w:t>
      </w:r>
      <w:r w:rsidR="0021173B" w:rsidRPr="0021173B">
        <w:rPr>
          <w:rFonts w:ascii="Calibri" w:hAnsi="Calibri" w:cs="Calibri"/>
          <w:b/>
          <w:bCs/>
          <w:sz w:val="22"/>
          <w:szCs w:val="22"/>
        </w:rPr>
        <w:t xml:space="preserve"> Agenzia ICE</w:t>
      </w:r>
      <w:r w:rsidR="00F27D06">
        <w:rPr>
          <w:rFonts w:ascii="Calibri" w:hAnsi="Calibri" w:cs="Calibri"/>
          <w:b/>
          <w:bCs/>
          <w:sz w:val="22"/>
          <w:szCs w:val="22"/>
        </w:rPr>
        <w:t xml:space="preserve"> </w:t>
      </w:r>
      <w:r w:rsidR="00F27D06" w:rsidRPr="00B07827">
        <w:rPr>
          <w:rFonts w:ascii="Calibri" w:hAnsi="Calibri" w:cs="Calibri"/>
          <w:sz w:val="22"/>
          <w:szCs w:val="22"/>
        </w:rPr>
        <w:t>e la</w:t>
      </w:r>
      <w:r w:rsidR="00F27D06">
        <w:rPr>
          <w:rFonts w:ascii="Calibri" w:hAnsi="Calibri" w:cs="Calibri"/>
          <w:b/>
          <w:bCs/>
          <w:sz w:val="22"/>
          <w:szCs w:val="22"/>
        </w:rPr>
        <w:t xml:space="preserve"> Camera di Commercio</w:t>
      </w:r>
      <w:r w:rsidR="007A0C76">
        <w:rPr>
          <w:rFonts w:ascii="Calibri" w:hAnsi="Calibri" w:cs="Calibri"/>
          <w:b/>
          <w:bCs/>
          <w:sz w:val="22"/>
          <w:szCs w:val="22"/>
        </w:rPr>
        <w:t xml:space="preserve"> Italiana </w:t>
      </w:r>
      <w:r w:rsidR="00B07827">
        <w:rPr>
          <w:rFonts w:ascii="Calibri" w:hAnsi="Calibri" w:cs="Calibri"/>
          <w:b/>
          <w:bCs/>
          <w:sz w:val="22"/>
          <w:szCs w:val="22"/>
        </w:rPr>
        <w:t xml:space="preserve">per la Spagna, </w:t>
      </w:r>
      <w:r w:rsidRPr="00490711">
        <w:rPr>
          <w:rFonts w:ascii="Calibri" w:hAnsi="Calibri" w:cs="Calibri"/>
          <w:sz w:val="22"/>
          <w:szCs w:val="22"/>
        </w:rPr>
        <w:t xml:space="preserve">ha riunito analisti, associazioni e protagonisti del </w:t>
      </w:r>
      <w:proofErr w:type="spellStart"/>
      <w:r w:rsidRPr="00490711">
        <w:rPr>
          <w:rFonts w:ascii="Calibri" w:hAnsi="Calibri" w:cs="Calibri"/>
          <w:sz w:val="22"/>
          <w:szCs w:val="22"/>
        </w:rPr>
        <w:t>foodservice</w:t>
      </w:r>
      <w:proofErr w:type="spellEnd"/>
      <w:r w:rsidRPr="00490711">
        <w:rPr>
          <w:rFonts w:ascii="Calibri" w:hAnsi="Calibri" w:cs="Calibri"/>
          <w:sz w:val="22"/>
          <w:szCs w:val="22"/>
        </w:rPr>
        <w:t xml:space="preserve"> </w:t>
      </w:r>
      <w:r w:rsidR="00694B1D">
        <w:rPr>
          <w:rFonts w:ascii="Calibri" w:hAnsi="Calibri" w:cs="Calibri"/>
          <w:sz w:val="22"/>
          <w:szCs w:val="22"/>
        </w:rPr>
        <w:t>iberico</w:t>
      </w:r>
      <w:r w:rsidRPr="00490711">
        <w:rPr>
          <w:rFonts w:ascii="Calibri" w:hAnsi="Calibri" w:cs="Calibri"/>
          <w:sz w:val="22"/>
          <w:szCs w:val="22"/>
        </w:rPr>
        <w:t xml:space="preserve"> in un tavolo di confronto sulle trasformazioni in atto nei consumi urbani, negli stili di servizio e nei modelli di business.</w:t>
      </w:r>
    </w:p>
    <w:p w14:paraId="25AF97F4" w14:textId="77777777" w:rsidR="0021173B" w:rsidRPr="00490711" w:rsidRDefault="0021173B" w:rsidP="0021173B">
      <w:pPr>
        <w:spacing w:after="0" w:line="240" w:lineRule="auto"/>
        <w:jc w:val="both"/>
        <w:rPr>
          <w:rFonts w:ascii="Calibri" w:hAnsi="Calibri" w:cs="Calibri"/>
          <w:sz w:val="22"/>
          <w:szCs w:val="22"/>
        </w:rPr>
      </w:pPr>
    </w:p>
    <w:p w14:paraId="36D0954F" w14:textId="77777777" w:rsidR="005F6BD9" w:rsidRPr="00490711" w:rsidRDefault="005F6BD9" w:rsidP="0021173B">
      <w:pPr>
        <w:spacing w:after="0"/>
        <w:jc w:val="both"/>
        <w:rPr>
          <w:rFonts w:ascii="Calibri" w:hAnsi="Calibri" w:cs="Calibri"/>
          <w:b/>
          <w:bCs/>
          <w:sz w:val="22"/>
          <w:szCs w:val="22"/>
        </w:rPr>
      </w:pPr>
      <w:r w:rsidRPr="00490711">
        <w:rPr>
          <w:rFonts w:ascii="Calibri" w:hAnsi="Calibri" w:cs="Calibri"/>
          <w:b/>
          <w:bCs/>
          <w:sz w:val="22"/>
          <w:szCs w:val="22"/>
        </w:rPr>
        <w:t>MADRID APRE NUOVE AGENDE DI MERCATO</w:t>
      </w:r>
    </w:p>
    <w:p w14:paraId="2333AEA8" w14:textId="63C1D11D" w:rsidR="00E16E89" w:rsidRPr="00CC10E7" w:rsidRDefault="007D1620" w:rsidP="0021173B">
      <w:pPr>
        <w:pStyle w:val="NormaleWeb"/>
        <w:spacing w:before="0" w:beforeAutospacing="0" w:after="0" w:afterAutospacing="0"/>
        <w:jc w:val="both"/>
        <w:rPr>
          <w:rFonts w:ascii="Calibri" w:hAnsi="Calibri" w:cs="Calibri"/>
          <w:sz w:val="22"/>
          <w:szCs w:val="22"/>
        </w:rPr>
      </w:pPr>
      <w:r w:rsidRPr="00490711">
        <w:rPr>
          <w:rFonts w:ascii="Calibri" w:hAnsi="Calibri" w:cs="Calibri"/>
          <w:sz w:val="22"/>
          <w:szCs w:val="22"/>
        </w:rPr>
        <w:t xml:space="preserve">Dal confronto è emerso come </w:t>
      </w:r>
      <w:r w:rsidRPr="00490711">
        <w:rPr>
          <w:rStyle w:val="Enfasigrassetto"/>
          <w:rFonts w:ascii="Calibri" w:eastAsiaTheme="majorEastAsia" w:hAnsi="Calibri" w:cs="Calibri"/>
          <w:sz w:val="22"/>
          <w:szCs w:val="22"/>
        </w:rPr>
        <w:t>la Spagna sia oggi uno dei mercati più dinamici del fuori casa in Europa</w:t>
      </w:r>
      <w:r w:rsidRPr="00490711">
        <w:rPr>
          <w:rFonts w:ascii="Calibri" w:hAnsi="Calibri" w:cs="Calibri"/>
          <w:sz w:val="22"/>
          <w:szCs w:val="22"/>
        </w:rPr>
        <w:t xml:space="preserve">. </w:t>
      </w:r>
      <w:r w:rsidR="00E16E89" w:rsidRPr="00490711">
        <w:rPr>
          <w:rFonts w:ascii="Calibri" w:hAnsi="Calibri" w:cs="Calibri"/>
          <w:sz w:val="22"/>
          <w:szCs w:val="22"/>
        </w:rPr>
        <w:t xml:space="preserve">I dati </w:t>
      </w:r>
      <w:proofErr w:type="spellStart"/>
      <w:r w:rsidR="00E16E89" w:rsidRPr="00490711">
        <w:rPr>
          <w:rFonts w:ascii="Calibri" w:hAnsi="Calibri" w:cs="Calibri"/>
          <w:b/>
          <w:bCs/>
          <w:sz w:val="22"/>
          <w:szCs w:val="22"/>
        </w:rPr>
        <w:t>Circana</w:t>
      </w:r>
      <w:proofErr w:type="spellEnd"/>
      <w:r w:rsidR="00E16E89" w:rsidRPr="00490711">
        <w:rPr>
          <w:rFonts w:ascii="Calibri" w:hAnsi="Calibri" w:cs="Calibri"/>
          <w:sz w:val="22"/>
          <w:szCs w:val="22"/>
        </w:rPr>
        <w:t xml:space="preserve"> illustrati durante il roadshow </w:t>
      </w:r>
      <w:r w:rsidR="00F5264D" w:rsidRPr="00F5264D">
        <w:rPr>
          <w:rFonts w:ascii="Calibri" w:hAnsi="Calibri" w:cs="Calibri"/>
          <w:sz w:val="22"/>
          <w:szCs w:val="22"/>
        </w:rPr>
        <w:t xml:space="preserve">mostrano che, tra i principali Paesi europei (Francia, Regno Unito, Spagna, Italia e Germania), la crescita complessiva nei primi nove mesi del 2025 è stata del </w:t>
      </w:r>
      <w:r w:rsidR="00F5264D" w:rsidRPr="00F5264D">
        <w:rPr>
          <w:rFonts w:ascii="Calibri" w:hAnsi="Calibri" w:cs="Calibri"/>
          <w:b/>
          <w:bCs/>
          <w:sz w:val="22"/>
          <w:szCs w:val="22"/>
        </w:rPr>
        <w:t>+1,8%</w:t>
      </w:r>
      <w:r w:rsidR="00F5264D" w:rsidRPr="00F5264D">
        <w:rPr>
          <w:rFonts w:ascii="Calibri" w:hAnsi="Calibri" w:cs="Calibri"/>
          <w:sz w:val="22"/>
          <w:szCs w:val="22"/>
        </w:rPr>
        <w:t xml:space="preserve"> rispetto all’anno precedente.</w:t>
      </w:r>
      <w:r w:rsidR="00F5264D">
        <w:rPr>
          <w:rFonts w:ascii="Calibri" w:hAnsi="Calibri" w:cs="Calibri"/>
          <w:sz w:val="22"/>
          <w:szCs w:val="22"/>
        </w:rPr>
        <w:t xml:space="preserve"> </w:t>
      </w:r>
      <w:r w:rsidR="00E16E89" w:rsidRPr="00CC10E7">
        <w:rPr>
          <w:rFonts w:ascii="Calibri" w:hAnsi="Calibri" w:cs="Calibri"/>
          <w:sz w:val="22"/>
          <w:szCs w:val="22"/>
        </w:rPr>
        <w:t xml:space="preserve">La Spagna </w:t>
      </w:r>
      <w:r w:rsidR="00446D73" w:rsidRPr="00CC10E7">
        <w:rPr>
          <w:rFonts w:ascii="Calibri" w:hAnsi="Calibri" w:cs="Calibri"/>
          <w:sz w:val="22"/>
          <w:szCs w:val="22"/>
        </w:rPr>
        <w:t>segna</w:t>
      </w:r>
      <w:r w:rsidR="00E16E89" w:rsidRPr="00CC10E7">
        <w:rPr>
          <w:rFonts w:ascii="Calibri" w:hAnsi="Calibri" w:cs="Calibri"/>
          <w:sz w:val="22"/>
          <w:szCs w:val="22"/>
        </w:rPr>
        <w:t xml:space="preserve"> un incremento del +2,4%</w:t>
      </w:r>
      <w:r w:rsidR="00446D73" w:rsidRPr="00CC10E7">
        <w:rPr>
          <w:rFonts w:ascii="Calibri" w:hAnsi="Calibri" w:cs="Calibri"/>
          <w:sz w:val="22"/>
          <w:szCs w:val="22"/>
        </w:rPr>
        <w:t xml:space="preserve"> </w:t>
      </w:r>
      <w:r w:rsidR="00E16E89" w:rsidRPr="00CC10E7">
        <w:rPr>
          <w:rFonts w:ascii="Calibri" w:hAnsi="Calibri" w:cs="Calibri"/>
          <w:sz w:val="22"/>
          <w:szCs w:val="22"/>
        </w:rPr>
        <w:t xml:space="preserve">ed è il Paese che cresce di più sia nella spesa sia nel numero di visite nei locali del </w:t>
      </w:r>
      <w:proofErr w:type="spellStart"/>
      <w:r w:rsidR="00E16E89" w:rsidRPr="00CC10E7">
        <w:rPr>
          <w:rFonts w:ascii="Calibri" w:hAnsi="Calibri" w:cs="Calibri"/>
          <w:sz w:val="22"/>
          <w:szCs w:val="22"/>
        </w:rPr>
        <w:t>foodservice</w:t>
      </w:r>
      <w:proofErr w:type="spellEnd"/>
      <w:r w:rsidR="00E16E89" w:rsidRPr="00CC10E7">
        <w:rPr>
          <w:rFonts w:ascii="Calibri" w:hAnsi="Calibri" w:cs="Calibri"/>
          <w:sz w:val="22"/>
          <w:szCs w:val="22"/>
        </w:rPr>
        <w:t>.</w:t>
      </w:r>
    </w:p>
    <w:p w14:paraId="1F1E263F" w14:textId="199B7106" w:rsidR="00490711" w:rsidRPr="00490711" w:rsidRDefault="00490711" w:rsidP="00490711">
      <w:pPr>
        <w:pStyle w:val="NormaleWeb"/>
        <w:jc w:val="both"/>
        <w:rPr>
          <w:rFonts w:ascii="Calibri" w:hAnsi="Calibri" w:cs="Calibri"/>
          <w:sz w:val="22"/>
          <w:szCs w:val="22"/>
        </w:rPr>
      </w:pPr>
      <w:r w:rsidRPr="00490711">
        <w:rPr>
          <w:rFonts w:ascii="Calibri" w:hAnsi="Calibri" w:cs="Calibri"/>
          <w:sz w:val="22"/>
          <w:szCs w:val="22"/>
        </w:rPr>
        <w:t xml:space="preserve">In questo contesto, </w:t>
      </w:r>
      <w:r w:rsidRPr="00490711">
        <w:rPr>
          <w:rStyle w:val="Enfasigrassetto"/>
          <w:rFonts w:ascii="Calibri" w:eastAsiaTheme="majorEastAsia" w:hAnsi="Calibri" w:cs="Calibri"/>
          <w:sz w:val="22"/>
          <w:szCs w:val="22"/>
        </w:rPr>
        <w:t>gelateria e pasticceria</w:t>
      </w:r>
      <w:r w:rsidRPr="00490711">
        <w:rPr>
          <w:rFonts w:ascii="Calibri" w:hAnsi="Calibri" w:cs="Calibri"/>
          <w:sz w:val="22"/>
          <w:szCs w:val="22"/>
        </w:rPr>
        <w:t xml:space="preserve"> si confermano elementi centrali nei concept urbani contemporanei, come </w:t>
      </w:r>
      <w:r w:rsidRPr="008C23C7">
        <w:rPr>
          <w:rStyle w:val="Enfasigrassetto"/>
          <w:rFonts w:ascii="Calibri" w:eastAsiaTheme="majorEastAsia" w:hAnsi="Calibri" w:cs="Calibri"/>
          <w:b w:val="0"/>
          <w:bCs w:val="0"/>
          <w:sz w:val="22"/>
          <w:szCs w:val="22"/>
        </w:rPr>
        <w:t>componenti identitarie dell’esperienza gastronomica</w:t>
      </w:r>
      <w:r w:rsidRPr="008C23C7">
        <w:rPr>
          <w:rFonts w:ascii="Calibri" w:hAnsi="Calibri" w:cs="Calibri"/>
          <w:b/>
          <w:bCs/>
          <w:sz w:val="22"/>
          <w:szCs w:val="22"/>
        </w:rPr>
        <w:t>,</w:t>
      </w:r>
      <w:r w:rsidRPr="00490711">
        <w:rPr>
          <w:rFonts w:ascii="Calibri" w:hAnsi="Calibri" w:cs="Calibri"/>
          <w:sz w:val="22"/>
          <w:szCs w:val="22"/>
        </w:rPr>
        <w:t xml:space="preserve"> capaci di coniugare qualità artigianale e modelli replicabili.</w:t>
      </w:r>
      <w:r w:rsidR="003A2E8E">
        <w:rPr>
          <w:rFonts w:ascii="Calibri" w:hAnsi="Calibri" w:cs="Calibri"/>
          <w:sz w:val="22"/>
          <w:szCs w:val="22"/>
        </w:rPr>
        <w:t xml:space="preserve"> </w:t>
      </w:r>
      <w:r w:rsidRPr="00490711">
        <w:rPr>
          <w:rFonts w:ascii="Calibri" w:hAnsi="Calibri" w:cs="Calibri"/>
          <w:sz w:val="22"/>
          <w:szCs w:val="22"/>
        </w:rPr>
        <w:t xml:space="preserve">Il percorso proseguirà a Rimini, dove sono già state programmate </w:t>
      </w:r>
      <w:r w:rsidRPr="00490711">
        <w:rPr>
          <w:rStyle w:val="Enfasigrassetto"/>
          <w:rFonts w:ascii="Calibri" w:eastAsiaTheme="majorEastAsia" w:hAnsi="Calibri" w:cs="Calibri"/>
          <w:b w:val="0"/>
          <w:bCs w:val="0"/>
          <w:sz w:val="22"/>
          <w:szCs w:val="22"/>
        </w:rPr>
        <w:t>agende di lavoro dirette</w:t>
      </w:r>
      <w:r w:rsidRPr="00490711">
        <w:rPr>
          <w:rFonts w:ascii="Calibri" w:hAnsi="Calibri" w:cs="Calibri"/>
          <w:sz w:val="22"/>
          <w:szCs w:val="22"/>
        </w:rPr>
        <w:t xml:space="preserve"> tra aziende italiane e gruppi spagnoli. L’accessibilità della destinazione fieristica si rafforza ulteriormente grazie ai </w:t>
      </w:r>
      <w:r w:rsidRPr="00490711">
        <w:rPr>
          <w:rStyle w:val="Enfasigrassetto"/>
          <w:rFonts w:ascii="Calibri" w:eastAsiaTheme="majorEastAsia" w:hAnsi="Calibri" w:cs="Calibri"/>
          <w:sz w:val="22"/>
          <w:szCs w:val="22"/>
        </w:rPr>
        <w:t>collegamenti aerei diretti non solo da Monaco, ma anche da Madrid</w:t>
      </w:r>
      <w:r w:rsidRPr="00490711">
        <w:rPr>
          <w:rFonts w:ascii="Calibri" w:hAnsi="Calibri" w:cs="Calibri"/>
          <w:sz w:val="22"/>
          <w:szCs w:val="22"/>
        </w:rPr>
        <w:t>, favorendo la partecipazione di buyer, catene e operatori internazionali.</w:t>
      </w:r>
    </w:p>
    <w:p w14:paraId="2F0DC94F" w14:textId="77777777" w:rsidR="005F6BD9" w:rsidRPr="00490711" w:rsidRDefault="005F6BD9" w:rsidP="0021173B">
      <w:pPr>
        <w:spacing w:after="0"/>
        <w:jc w:val="both"/>
        <w:rPr>
          <w:rFonts w:ascii="Calibri" w:hAnsi="Calibri" w:cs="Calibri"/>
          <w:b/>
          <w:bCs/>
          <w:sz w:val="22"/>
          <w:szCs w:val="22"/>
        </w:rPr>
      </w:pPr>
      <w:r w:rsidRPr="00490711">
        <w:rPr>
          <w:rFonts w:ascii="Calibri" w:hAnsi="Calibri" w:cs="Calibri"/>
          <w:b/>
          <w:bCs/>
          <w:sz w:val="22"/>
          <w:szCs w:val="22"/>
        </w:rPr>
        <w:t>L’INDIA GUEST COUNTRY 2026</w:t>
      </w:r>
    </w:p>
    <w:p w14:paraId="3EF0A115" w14:textId="77777777" w:rsidR="005F6BD9" w:rsidRDefault="005F6BD9" w:rsidP="0021173B">
      <w:pPr>
        <w:spacing w:after="0" w:line="240" w:lineRule="auto"/>
        <w:jc w:val="both"/>
        <w:rPr>
          <w:rFonts w:ascii="Calibri" w:hAnsi="Calibri" w:cs="Calibri"/>
          <w:sz w:val="22"/>
          <w:szCs w:val="22"/>
        </w:rPr>
      </w:pPr>
      <w:r w:rsidRPr="00490711">
        <w:rPr>
          <w:rFonts w:ascii="Calibri" w:hAnsi="Calibri" w:cs="Calibri"/>
          <w:sz w:val="22"/>
          <w:szCs w:val="22"/>
        </w:rPr>
        <w:t xml:space="preserve">Un altro asse strategico è rappresentato dall’India, presente a SIGEP World come </w:t>
      </w:r>
      <w:r w:rsidRPr="00490711">
        <w:rPr>
          <w:rFonts w:ascii="Calibri" w:hAnsi="Calibri" w:cs="Calibri"/>
          <w:b/>
          <w:bCs/>
          <w:sz w:val="22"/>
          <w:szCs w:val="22"/>
        </w:rPr>
        <w:t>Paese ospite</w:t>
      </w:r>
      <w:r w:rsidRPr="00490711">
        <w:rPr>
          <w:rFonts w:ascii="Calibri" w:hAnsi="Calibri" w:cs="Calibri"/>
          <w:sz w:val="22"/>
          <w:szCs w:val="22"/>
        </w:rPr>
        <w:t xml:space="preserve"> con delegazione di buyer, media e istituzioni: un mercato in pieno sviluppo, interessato a modelli avanzati di </w:t>
      </w:r>
      <w:proofErr w:type="spellStart"/>
      <w:r w:rsidRPr="00490711">
        <w:rPr>
          <w:rFonts w:ascii="Calibri" w:hAnsi="Calibri" w:cs="Calibri"/>
          <w:sz w:val="22"/>
          <w:szCs w:val="22"/>
        </w:rPr>
        <w:t>foodservice</w:t>
      </w:r>
      <w:proofErr w:type="spellEnd"/>
      <w:r w:rsidRPr="00490711">
        <w:rPr>
          <w:rFonts w:ascii="Calibri" w:hAnsi="Calibri" w:cs="Calibri"/>
          <w:sz w:val="22"/>
          <w:szCs w:val="22"/>
        </w:rPr>
        <w:t xml:space="preserve"> e ospitalità.</w:t>
      </w:r>
    </w:p>
    <w:p w14:paraId="36BFE094" w14:textId="77777777" w:rsidR="00CC10E7" w:rsidRPr="00490711" w:rsidRDefault="00CC10E7" w:rsidP="00CC10E7">
      <w:pPr>
        <w:spacing w:after="0" w:line="240" w:lineRule="auto"/>
        <w:jc w:val="both"/>
        <w:rPr>
          <w:rFonts w:ascii="Calibri" w:hAnsi="Calibri" w:cs="Calibri"/>
          <w:sz w:val="22"/>
          <w:szCs w:val="22"/>
        </w:rPr>
      </w:pPr>
    </w:p>
    <w:p w14:paraId="77FB43E2" w14:textId="51796CE8" w:rsidR="008463FB" w:rsidRDefault="005F6BD9" w:rsidP="0021173B">
      <w:pPr>
        <w:spacing w:after="0"/>
        <w:jc w:val="both"/>
        <w:rPr>
          <w:rFonts w:ascii="Calibri" w:hAnsi="Calibri" w:cs="Calibri"/>
          <w:b/>
          <w:bCs/>
          <w:sz w:val="22"/>
          <w:szCs w:val="22"/>
        </w:rPr>
      </w:pPr>
      <w:r w:rsidRPr="00490711">
        <w:rPr>
          <w:rFonts w:ascii="Calibri" w:hAnsi="Calibri" w:cs="Calibri"/>
          <w:b/>
          <w:bCs/>
          <w:sz w:val="22"/>
          <w:szCs w:val="22"/>
        </w:rPr>
        <w:lastRenderedPageBreak/>
        <w:t>IL GELATO COME COMPETENZA DA INTEGRARE NELLA RISTORAZIONE</w:t>
      </w:r>
    </w:p>
    <w:p w14:paraId="1ECC85F3" w14:textId="0FD13E2B" w:rsidR="008463FB" w:rsidRPr="00E15541" w:rsidRDefault="008463FB" w:rsidP="004D277D">
      <w:pPr>
        <w:spacing w:after="0" w:line="240" w:lineRule="auto"/>
        <w:jc w:val="both"/>
        <w:rPr>
          <w:rFonts w:ascii="Calibri" w:hAnsi="Calibri" w:cs="Calibri"/>
          <w:sz w:val="22"/>
          <w:szCs w:val="22"/>
        </w:rPr>
      </w:pPr>
      <w:r w:rsidRPr="00E15541">
        <w:rPr>
          <w:rFonts w:ascii="Calibri" w:hAnsi="Calibri" w:cs="Calibri"/>
          <w:sz w:val="22"/>
          <w:szCs w:val="22"/>
        </w:rPr>
        <w:t xml:space="preserve">Uno dei filoni centrali di SIGEP World 2026 sarà il gelato come competenza professionale da integrare nei menù di </w:t>
      </w:r>
      <w:r w:rsidR="00735A39">
        <w:rPr>
          <w:rFonts w:ascii="Calibri" w:hAnsi="Calibri" w:cs="Calibri"/>
          <w:sz w:val="22"/>
          <w:szCs w:val="22"/>
        </w:rPr>
        <w:t>catene di ristorazione</w:t>
      </w:r>
      <w:r w:rsidRPr="00E15541">
        <w:rPr>
          <w:rFonts w:ascii="Calibri" w:hAnsi="Calibri" w:cs="Calibri"/>
          <w:sz w:val="22"/>
          <w:szCs w:val="22"/>
        </w:rPr>
        <w:t xml:space="preserve">, </w:t>
      </w:r>
      <w:r w:rsidR="00DD173A">
        <w:rPr>
          <w:rFonts w:ascii="Calibri" w:hAnsi="Calibri" w:cs="Calibri"/>
          <w:sz w:val="22"/>
          <w:szCs w:val="22"/>
        </w:rPr>
        <w:t xml:space="preserve">hotel e </w:t>
      </w:r>
      <w:r w:rsidRPr="00E15541">
        <w:rPr>
          <w:rFonts w:ascii="Calibri" w:hAnsi="Calibri" w:cs="Calibri"/>
          <w:sz w:val="22"/>
          <w:szCs w:val="22"/>
        </w:rPr>
        <w:t>caffetteri</w:t>
      </w:r>
      <w:r w:rsidR="00DD173A">
        <w:rPr>
          <w:rFonts w:ascii="Calibri" w:hAnsi="Calibri" w:cs="Calibri"/>
          <w:sz w:val="22"/>
          <w:szCs w:val="22"/>
        </w:rPr>
        <w:t>e</w:t>
      </w:r>
      <w:r w:rsidRPr="00E15541">
        <w:rPr>
          <w:rFonts w:ascii="Calibri" w:hAnsi="Calibri" w:cs="Calibri"/>
          <w:sz w:val="22"/>
          <w:szCs w:val="22"/>
        </w:rPr>
        <w:t>.</w:t>
      </w:r>
      <w:r w:rsidR="00E15541">
        <w:rPr>
          <w:rFonts w:ascii="Calibri" w:hAnsi="Calibri" w:cs="Calibri"/>
          <w:sz w:val="22"/>
          <w:szCs w:val="22"/>
        </w:rPr>
        <w:t xml:space="preserve"> </w:t>
      </w:r>
      <w:r w:rsidRPr="00E15541">
        <w:rPr>
          <w:rFonts w:ascii="Calibri" w:hAnsi="Calibri" w:cs="Calibri"/>
          <w:sz w:val="22"/>
          <w:szCs w:val="22"/>
        </w:rPr>
        <w:t xml:space="preserve">Grazie a </w:t>
      </w:r>
      <w:r w:rsidRPr="00DD173A">
        <w:rPr>
          <w:rFonts w:ascii="Calibri" w:hAnsi="Calibri" w:cs="Calibri"/>
          <w:b/>
          <w:bCs/>
          <w:sz w:val="22"/>
          <w:szCs w:val="22"/>
        </w:rPr>
        <w:t xml:space="preserve">Gelato </w:t>
      </w:r>
      <w:proofErr w:type="spellStart"/>
      <w:r w:rsidRPr="00DD173A">
        <w:rPr>
          <w:rFonts w:ascii="Calibri" w:hAnsi="Calibri" w:cs="Calibri"/>
          <w:b/>
          <w:bCs/>
          <w:sz w:val="22"/>
          <w:szCs w:val="22"/>
        </w:rPr>
        <w:t>Meets</w:t>
      </w:r>
      <w:proofErr w:type="spellEnd"/>
      <w:r w:rsidRPr="00DD173A">
        <w:rPr>
          <w:rFonts w:ascii="Calibri" w:hAnsi="Calibri" w:cs="Calibri"/>
          <w:b/>
          <w:bCs/>
          <w:sz w:val="22"/>
          <w:szCs w:val="22"/>
        </w:rPr>
        <w:t xml:space="preserve"> Chains</w:t>
      </w:r>
      <w:r w:rsidRPr="00E15541">
        <w:rPr>
          <w:rFonts w:ascii="Calibri" w:hAnsi="Calibri" w:cs="Calibri"/>
          <w:sz w:val="22"/>
          <w:szCs w:val="22"/>
        </w:rPr>
        <w:t xml:space="preserve"> e al</w:t>
      </w:r>
      <w:r w:rsidR="005A1FA9">
        <w:rPr>
          <w:rFonts w:ascii="Calibri" w:hAnsi="Calibri" w:cs="Calibri"/>
          <w:sz w:val="22"/>
          <w:szCs w:val="22"/>
        </w:rPr>
        <w:t>la campagna</w:t>
      </w:r>
      <w:r w:rsidRPr="00E15541">
        <w:rPr>
          <w:rFonts w:ascii="Calibri" w:hAnsi="Calibri" w:cs="Calibri"/>
          <w:sz w:val="22"/>
          <w:szCs w:val="22"/>
        </w:rPr>
        <w:t xml:space="preserve"> internazionale </w:t>
      </w:r>
      <w:r w:rsidR="00E66B67">
        <w:rPr>
          <w:rFonts w:ascii="Calibri" w:hAnsi="Calibri" w:cs="Calibri"/>
          <w:sz w:val="22"/>
          <w:szCs w:val="22"/>
        </w:rPr>
        <w:t>“</w:t>
      </w:r>
      <w:proofErr w:type="spellStart"/>
      <w:r w:rsidRPr="00DD173A">
        <w:rPr>
          <w:rFonts w:ascii="Calibri" w:hAnsi="Calibri" w:cs="Calibri"/>
          <w:b/>
          <w:bCs/>
          <w:i/>
          <w:iCs/>
          <w:sz w:val="22"/>
          <w:szCs w:val="22"/>
        </w:rPr>
        <w:t>What</w:t>
      </w:r>
      <w:proofErr w:type="spellEnd"/>
      <w:r w:rsidRPr="00DD173A">
        <w:rPr>
          <w:rFonts w:ascii="Calibri" w:hAnsi="Calibri" w:cs="Calibri"/>
          <w:b/>
          <w:bCs/>
          <w:i/>
          <w:iCs/>
          <w:sz w:val="22"/>
          <w:szCs w:val="22"/>
        </w:rPr>
        <w:t xml:space="preserve"> </w:t>
      </w:r>
      <w:proofErr w:type="spellStart"/>
      <w:r w:rsidRPr="00DD173A">
        <w:rPr>
          <w:rFonts w:ascii="Calibri" w:hAnsi="Calibri" w:cs="Calibri"/>
          <w:b/>
          <w:bCs/>
          <w:i/>
          <w:iCs/>
          <w:sz w:val="22"/>
          <w:szCs w:val="22"/>
        </w:rPr>
        <w:t>is</w:t>
      </w:r>
      <w:proofErr w:type="spellEnd"/>
      <w:r w:rsidRPr="00DD173A">
        <w:rPr>
          <w:rFonts w:ascii="Calibri" w:hAnsi="Calibri" w:cs="Calibri"/>
          <w:b/>
          <w:bCs/>
          <w:i/>
          <w:iCs/>
          <w:sz w:val="22"/>
          <w:szCs w:val="22"/>
        </w:rPr>
        <w:t xml:space="preserve"> </w:t>
      </w:r>
      <w:r w:rsidR="00DD173A" w:rsidRPr="00DD173A">
        <w:rPr>
          <w:rFonts w:ascii="Calibri" w:hAnsi="Calibri" w:cs="Calibri"/>
          <w:b/>
          <w:bCs/>
          <w:i/>
          <w:iCs/>
          <w:sz w:val="22"/>
          <w:szCs w:val="22"/>
        </w:rPr>
        <w:t>Gelato</w:t>
      </w:r>
      <w:r w:rsidR="00DD173A">
        <w:rPr>
          <w:rFonts w:ascii="Calibri" w:hAnsi="Calibri" w:cs="Calibri"/>
          <w:b/>
          <w:bCs/>
          <w:i/>
          <w:iCs/>
          <w:sz w:val="22"/>
          <w:szCs w:val="22"/>
        </w:rPr>
        <w:t>?”</w:t>
      </w:r>
      <w:r w:rsidR="00DD173A" w:rsidRPr="00D134CB">
        <w:rPr>
          <w:rFonts w:ascii="Calibri" w:hAnsi="Calibri" w:cs="Calibri"/>
          <w:i/>
          <w:iCs/>
          <w:sz w:val="22"/>
          <w:szCs w:val="22"/>
        </w:rPr>
        <w:t>,</w:t>
      </w:r>
      <w:r w:rsidRPr="00D134CB">
        <w:rPr>
          <w:rFonts w:ascii="Calibri" w:hAnsi="Calibri" w:cs="Calibri"/>
          <w:sz w:val="22"/>
          <w:szCs w:val="22"/>
        </w:rPr>
        <w:t xml:space="preserve"> </w:t>
      </w:r>
      <w:r w:rsidRPr="00E15541">
        <w:rPr>
          <w:rFonts w:ascii="Calibri" w:hAnsi="Calibri" w:cs="Calibri"/>
          <w:sz w:val="22"/>
          <w:szCs w:val="22"/>
        </w:rPr>
        <w:t xml:space="preserve">il gelato </w:t>
      </w:r>
      <w:r w:rsidR="00AD4F1C" w:rsidRPr="00AD4F1C">
        <w:rPr>
          <w:rFonts w:ascii="Calibri" w:hAnsi="Calibri" w:cs="Calibri"/>
          <w:sz w:val="22"/>
          <w:szCs w:val="22"/>
        </w:rPr>
        <w:t xml:space="preserve">viene proposto come competenza e come opportunità di business: le </w:t>
      </w:r>
      <w:r w:rsidR="00C90C98">
        <w:rPr>
          <w:rFonts w:ascii="Calibri" w:hAnsi="Calibri" w:cs="Calibri"/>
          <w:sz w:val="22"/>
          <w:szCs w:val="22"/>
        </w:rPr>
        <w:t xml:space="preserve">catene di ristorazione, </w:t>
      </w:r>
      <w:r w:rsidR="007B2EE6">
        <w:rPr>
          <w:rFonts w:ascii="Calibri" w:hAnsi="Calibri" w:cs="Calibri"/>
          <w:sz w:val="22"/>
          <w:szCs w:val="22"/>
        </w:rPr>
        <w:t xml:space="preserve">i gruppi alberghieri e </w:t>
      </w:r>
      <w:r w:rsidR="00C90C98">
        <w:rPr>
          <w:rFonts w:ascii="Calibri" w:hAnsi="Calibri" w:cs="Calibri"/>
          <w:sz w:val="22"/>
          <w:szCs w:val="22"/>
        </w:rPr>
        <w:t xml:space="preserve">i coffee </w:t>
      </w:r>
      <w:r w:rsidR="007B2EE6">
        <w:rPr>
          <w:rFonts w:ascii="Calibri" w:hAnsi="Calibri" w:cs="Calibri"/>
          <w:sz w:val="22"/>
          <w:szCs w:val="22"/>
        </w:rPr>
        <w:t xml:space="preserve">shop </w:t>
      </w:r>
      <w:r w:rsidR="007B2EE6" w:rsidRPr="00AD4F1C">
        <w:rPr>
          <w:rFonts w:ascii="Calibri" w:hAnsi="Calibri" w:cs="Calibri"/>
          <w:sz w:val="22"/>
          <w:szCs w:val="22"/>
        </w:rPr>
        <w:t>hanno</w:t>
      </w:r>
      <w:r w:rsidR="00AD4F1C" w:rsidRPr="00AD4F1C">
        <w:rPr>
          <w:rFonts w:ascii="Calibri" w:hAnsi="Calibri" w:cs="Calibri"/>
          <w:sz w:val="22"/>
          <w:szCs w:val="22"/>
        </w:rPr>
        <w:t xml:space="preserve"> così gli strumenti per integrarlo stabilmente ne</w:t>
      </w:r>
      <w:r w:rsidR="00C90C98">
        <w:rPr>
          <w:rFonts w:ascii="Calibri" w:hAnsi="Calibri" w:cs="Calibri"/>
          <w:sz w:val="22"/>
          <w:szCs w:val="22"/>
        </w:rPr>
        <w:t xml:space="preserve">i menù </w:t>
      </w:r>
      <w:r w:rsidR="00AD4F1C" w:rsidRPr="00AD4F1C">
        <w:rPr>
          <w:rFonts w:ascii="Calibri" w:hAnsi="Calibri" w:cs="Calibri"/>
          <w:sz w:val="22"/>
          <w:szCs w:val="22"/>
        </w:rPr>
        <w:t>trasformandolo in un elemento distintivo dell’offerta</w:t>
      </w:r>
      <w:r w:rsidR="004D277D">
        <w:rPr>
          <w:rFonts w:ascii="Calibri" w:hAnsi="Calibri" w:cs="Calibri"/>
          <w:sz w:val="22"/>
          <w:szCs w:val="22"/>
        </w:rPr>
        <w:t>.</w:t>
      </w:r>
    </w:p>
    <w:p w14:paraId="33110FF1" w14:textId="77777777" w:rsidR="005F6BD9" w:rsidRPr="00490711" w:rsidRDefault="005F6BD9" w:rsidP="00490711">
      <w:pPr>
        <w:tabs>
          <w:tab w:val="left" w:pos="4111"/>
        </w:tabs>
        <w:spacing w:after="0" w:line="240" w:lineRule="auto"/>
        <w:jc w:val="both"/>
        <w:rPr>
          <w:rFonts w:ascii="Calibri" w:eastAsia="Times New Roman" w:hAnsi="Calibri" w:cs="Calibri"/>
          <w:sz w:val="22"/>
          <w:szCs w:val="22"/>
        </w:rPr>
      </w:pPr>
    </w:p>
    <w:p w14:paraId="6E58FDB4" w14:textId="59D0B0A1" w:rsidR="00CC10E7" w:rsidRDefault="005F6BD9" w:rsidP="00490711">
      <w:pPr>
        <w:tabs>
          <w:tab w:val="left" w:pos="4111"/>
        </w:tabs>
        <w:spacing w:after="0" w:line="240" w:lineRule="auto"/>
        <w:jc w:val="both"/>
        <w:rPr>
          <w:rFonts w:ascii="Calibri" w:eastAsia="Times New Roman" w:hAnsi="Calibri" w:cs="Calibri"/>
          <w:sz w:val="22"/>
          <w:szCs w:val="22"/>
        </w:rPr>
      </w:pPr>
      <w:r w:rsidRPr="00490711">
        <w:rPr>
          <w:rFonts w:ascii="Calibri" w:eastAsia="Times New Roman" w:hAnsi="Calibri" w:cs="Calibri"/>
          <w:b/>
          <w:bCs/>
          <w:sz w:val="22"/>
          <w:szCs w:val="22"/>
        </w:rPr>
        <w:t>NUOVI SCENARI PER HÔTELLERIE E COFFEE SHOP: DUE OSSERVATORI SUL MERCATO IN TRASFORMAZIONE</w:t>
      </w:r>
    </w:p>
    <w:p w14:paraId="20441B4F" w14:textId="7A1763B5" w:rsidR="005F6BD9" w:rsidRPr="00490711" w:rsidRDefault="005F6BD9" w:rsidP="00490711">
      <w:pPr>
        <w:tabs>
          <w:tab w:val="left" w:pos="4111"/>
        </w:tabs>
        <w:spacing w:after="0" w:line="240" w:lineRule="auto"/>
        <w:jc w:val="both"/>
        <w:rPr>
          <w:rFonts w:ascii="Calibri" w:eastAsia="Times New Roman" w:hAnsi="Calibri" w:cs="Calibri"/>
          <w:sz w:val="22"/>
          <w:szCs w:val="22"/>
        </w:rPr>
      </w:pPr>
      <w:r w:rsidRPr="00490711">
        <w:rPr>
          <w:rFonts w:ascii="Calibri" w:eastAsia="Times New Roman" w:hAnsi="Calibri" w:cs="Calibri"/>
          <w:sz w:val="22"/>
          <w:szCs w:val="22"/>
        </w:rPr>
        <w:t xml:space="preserve">La </w:t>
      </w:r>
      <w:proofErr w:type="spellStart"/>
      <w:r w:rsidRPr="00490711">
        <w:rPr>
          <w:rFonts w:ascii="Calibri" w:eastAsia="Times New Roman" w:hAnsi="Calibri" w:cs="Calibri"/>
          <w:sz w:val="22"/>
          <w:szCs w:val="22"/>
        </w:rPr>
        <w:t>Luxury</w:t>
      </w:r>
      <w:proofErr w:type="spellEnd"/>
      <w:r w:rsidRPr="00490711">
        <w:rPr>
          <w:rFonts w:ascii="Calibri" w:eastAsia="Times New Roman" w:hAnsi="Calibri" w:cs="Calibri"/>
          <w:sz w:val="22"/>
          <w:szCs w:val="22"/>
        </w:rPr>
        <w:t xml:space="preserve"> Hotel Food Experience metterà in luce i trend emergenti dell’</w:t>
      </w:r>
      <w:proofErr w:type="spellStart"/>
      <w:r w:rsidRPr="00490711">
        <w:rPr>
          <w:rFonts w:ascii="Calibri" w:eastAsia="Times New Roman" w:hAnsi="Calibri" w:cs="Calibri"/>
          <w:sz w:val="22"/>
          <w:szCs w:val="22"/>
        </w:rPr>
        <w:t>hôtellerie</w:t>
      </w:r>
      <w:proofErr w:type="spellEnd"/>
      <w:r w:rsidRPr="00490711">
        <w:rPr>
          <w:rFonts w:ascii="Calibri" w:eastAsia="Times New Roman" w:hAnsi="Calibri" w:cs="Calibri"/>
          <w:sz w:val="22"/>
          <w:szCs w:val="22"/>
        </w:rPr>
        <w:t xml:space="preserve"> di fascia alta, attraverso contributi autorevoli e visioni strategiche provenienti dal mondo accademico, dai manager food &amp; beverage delle grandi catene e dai </w:t>
      </w:r>
      <w:proofErr w:type="spellStart"/>
      <w:r w:rsidRPr="00490711">
        <w:rPr>
          <w:rFonts w:ascii="Calibri" w:eastAsia="Times New Roman" w:hAnsi="Calibri" w:cs="Calibri"/>
          <w:sz w:val="22"/>
          <w:szCs w:val="22"/>
        </w:rPr>
        <w:t>pastry</w:t>
      </w:r>
      <w:proofErr w:type="spellEnd"/>
      <w:r w:rsidRPr="00490711">
        <w:rPr>
          <w:rFonts w:ascii="Calibri" w:eastAsia="Times New Roman" w:hAnsi="Calibri" w:cs="Calibri"/>
          <w:sz w:val="22"/>
          <w:szCs w:val="22"/>
        </w:rPr>
        <w:t xml:space="preserve"> chef. Un confronto operativo su estetica del servizio, identità gastronomica e nuove forme di esperienza nei contesti premium.</w:t>
      </w:r>
    </w:p>
    <w:p w14:paraId="6FD870DA" w14:textId="77777777" w:rsidR="005F6BD9" w:rsidRPr="00490711" w:rsidRDefault="005F6BD9" w:rsidP="00490711">
      <w:pPr>
        <w:tabs>
          <w:tab w:val="left" w:pos="4111"/>
        </w:tabs>
        <w:spacing w:after="0" w:line="240" w:lineRule="auto"/>
        <w:jc w:val="both"/>
        <w:rPr>
          <w:rFonts w:ascii="Calibri" w:eastAsia="Times New Roman" w:hAnsi="Calibri" w:cs="Calibri"/>
          <w:sz w:val="22"/>
          <w:szCs w:val="22"/>
        </w:rPr>
      </w:pPr>
      <w:r w:rsidRPr="00490711">
        <w:rPr>
          <w:rFonts w:ascii="Calibri" w:eastAsia="Times New Roman" w:hAnsi="Calibri" w:cs="Calibri"/>
          <w:sz w:val="22"/>
          <w:szCs w:val="22"/>
        </w:rPr>
        <w:t>L’</w:t>
      </w:r>
      <w:r w:rsidRPr="00490711">
        <w:rPr>
          <w:rFonts w:ascii="Calibri" w:eastAsia="Times New Roman" w:hAnsi="Calibri" w:cs="Calibri"/>
          <w:b/>
          <w:bCs/>
          <w:sz w:val="22"/>
          <w:szCs w:val="22"/>
        </w:rPr>
        <w:t xml:space="preserve">Innovation Bar </w:t>
      </w:r>
      <w:r w:rsidRPr="00490711">
        <w:rPr>
          <w:rFonts w:ascii="Calibri" w:eastAsia="Times New Roman" w:hAnsi="Calibri" w:cs="Calibri"/>
          <w:sz w:val="22"/>
          <w:szCs w:val="22"/>
        </w:rPr>
        <w:t>affronta invece l’aspetto più concreto del mercato: come sta cambiando il bar. Robotica intelligente, flussi di lavoro ottimizzati, specialità del caffè come linguaggio e non come moda, senza dimenticare le nuove modalità di consumo della bevanda.</w:t>
      </w:r>
    </w:p>
    <w:p w14:paraId="5D6E3C27" w14:textId="77777777" w:rsidR="005F6BD9" w:rsidRPr="00490711" w:rsidRDefault="005F6BD9" w:rsidP="00490711">
      <w:pPr>
        <w:tabs>
          <w:tab w:val="left" w:pos="4111"/>
        </w:tabs>
        <w:spacing w:after="0" w:line="240" w:lineRule="auto"/>
        <w:jc w:val="both"/>
        <w:rPr>
          <w:rFonts w:ascii="Calibri" w:eastAsia="Times New Roman" w:hAnsi="Calibri" w:cs="Calibri"/>
          <w:sz w:val="22"/>
          <w:szCs w:val="22"/>
        </w:rPr>
      </w:pPr>
    </w:p>
    <w:p w14:paraId="69067FCE" w14:textId="77777777" w:rsidR="005F6BD9" w:rsidRPr="00490711" w:rsidRDefault="005F6BD9" w:rsidP="00490711">
      <w:pPr>
        <w:jc w:val="both"/>
        <w:rPr>
          <w:rFonts w:ascii="Calibri" w:hAnsi="Calibri" w:cs="Calibri"/>
          <w:b/>
          <w:bCs/>
          <w:sz w:val="22"/>
          <w:szCs w:val="22"/>
        </w:rPr>
      </w:pPr>
      <w:r w:rsidRPr="00490711">
        <w:rPr>
          <w:rFonts w:ascii="Calibri" w:hAnsi="Calibri" w:cs="Calibri"/>
          <w:b/>
          <w:bCs/>
          <w:sz w:val="22"/>
          <w:szCs w:val="22"/>
        </w:rPr>
        <w:t>PIZZA (R)EVOLUTION: LA FILIERA COMPLETA ENTRA IN SCENA IN FIERA</w:t>
      </w:r>
    </w:p>
    <w:p w14:paraId="3961E14C" w14:textId="77777777" w:rsidR="005F6BD9" w:rsidRPr="00490711" w:rsidRDefault="005F6BD9" w:rsidP="00CC10E7">
      <w:pPr>
        <w:spacing w:after="0" w:line="240" w:lineRule="auto"/>
        <w:jc w:val="both"/>
        <w:rPr>
          <w:rFonts w:ascii="Calibri" w:hAnsi="Calibri" w:cs="Calibri"/>
          <w:sz w:val="22"/>
          <w:szCs w:val="22"/>
        </w:rPr>
      </w:pPr>
      <w:r w:rsidRPr="00490711">
        <w:rPr>
          <w:rFonts w:ascii="Calibri" w:hAnsi="Calibri" w:cs="Calibri"/>
          <w:sz w:val="22"/>
          <w:szCs w:val="22"/>
        </w:rPr>
        <w:t xml:space="preserve">Il progetto dedicato alla pizza cresce e si struttura come filiera completa: farciture, impasti, tecnologie, modelli di servizio. La Pizza Arena, insieme alla Vision </w:t>
      </w:r>
      <w:proofErr w:type="spellStart"/>
      <w:r w:rsidRPr="00490711">
        <w:rPr>
          <w:rFonts w:ascii="Calibri" w:hAnsi="Calibri" w:cs="Calibri"/>
          <w:sz w:val="22"/>
          <w:szCs w:val="22"/>
        </w:rPr>
        <w:t>Plaza</w:t>
      </w:r>
      <w:proofErr w:type="spellEnd"/>
      <w:r w:rsidRPr="00490711">
        <w:rPr>
          <w:rFonts w:ascii="Calibri" w:hAnsi="Calibri" w:cs="Calibri"/>
          <w:sz w:val="22"/>
          <w:szCs w:val="22"/>
        </w:rPr>
        <w:t>, offriranno un osservatorio vivo su tendenze e metodi con partner di eccezione, tra cui 50 Top Pizza e realtà formative di livello internazionale.</w:t>
      </w:r>
    </w:p>
    <w:p w14:paraId="6CC8B3AB" w14:textId="77777777" w:rsidR="0003774E" w:rsidRDefault="0003774E" w:rsidP="006377F7">
      <w:pPr>
        <w:spacing w:line="240" w:lineRule="auto"/>
        <w:contextualSpacing/>
        <w:jc w:val="both"/>
        <w:rPr>
          <w:rFonts w:ascii="Calibri" w:hAnsi="Calibri" w:cs="Calibri"/>
        </w:rPr>
      </w:pPr>
    </w:p>
    <w:p w14:paraId="77E71F48" w14:textId="77777777" w:rsidR="0003774E" w:rsidRPr="00B12AB3" w:rsidRDefault="0003774E" w:rsidP="0003774E">
      <w:pPr>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6"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Mind The Pop</w:t>
      </w:r>
    </w:p>
    <w:p w14:paraId="3B886C3A" w14:textId="1D824781" w:rsidR="0003774E" w:rsidRPr="00B12AB3"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7"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8"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9"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0"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Pr="0003774E" w:rsidRDefault="0003774E" w:rsidP="0003774E">
      <w:pPr>
        <w:pStyle w:val="Nessunaspaziatura"/>
        <w:rPr>
          <w:rFonts w:ascii="Calibri" w:hAnsi="Calibri" w:cs="Calibri"/>
          <w:b/>
          <w:bCs/>
          <w:sz w:val="20"/>
          <w:szCs w:val="20"/>
          <w:lang w:val="en-US"/>
        </w:rPr>
      </w:pPr>
    </w:p>
    <w:p w14:paraId="54DECB94" w14:textId="7BACCD20" w:rsidR="0003774E" w:rsidRPr="0003774E" w:rsidRDefault="0003774E" w:rsidP="0003774E">
      <w:pPr>
        <w:jc w:val="both"/>
        <w:rPr>
          <w:rFonts w:ascii="Calibri" w:hAnsi="Calibri" w:cs="Calibri"/>
          <w:sz w:val="20"/>
          <w:szCs w:val="20"/>
        </w:rPr>
      </w:pPr>
      <w:r w:rsidRPr="003D588C">
        <w:rPr>
          <w:noProof/>
        </w:rPr>
        <w:drawing>
          <wp:inline distT="0" distB="0" distL="0" distR="0" wp14:anchorId="78F472A3" wp14:editId="5B88820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5B41773" w14:textId="47D8D132" w:rsidR="0003774E" w:rsidRPr="00F04A48" w:rsidRDefault="0003774E" w:rsidP="0003774E">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F04A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3"/>
  </w:num>
  <w:num w:numId="2" w16cid:durableId="845941916">
    <w:abstractNumId w:val="12"/>
  </w:num>
  <w:num w:numId="3" w16cid:durableId="214396538">
    <w:abstractNumId w:val="10"/>
  </w:num>
  <w:num w:numId="4" w16cid:durableId="198400668">
    <w:abstractNumId w:val="11"/>
  </w:num>
  <w:num w:numId="5" w16cid:durableId="1760518271">
    <w:abstractNumId w:val="0"/>
  </w:num>
  <w:num w:numId="6" w16cid:durableId="449469430">
    <w:abstractNumId w:val="5"/>
  </w:num>
  <w:num w:numId="7" w16cid:durableId="1457916953">
    <w:abstractNumId w:val="8"/>
  </w:num>
  <w:num w:numId="8" w16cid:durableId="586230514">
    <w:abstractNumId w:val="6"/>
  </w:num>
  <w:num w:numId="9" w16cid:durableId="2069766795">
    <w:abstractNumId w:val="7"/>
  </w:num>
  <w:num w:numId="10" w16cid:durableId="1231303872">
    <w:abstractNumId w:val="9"/>
  </w:num>
  <w:num w:numId="11" w16cid:durableId="418411925">
    <w:abstractNumId w:val="4"/>
  </w:num>
  <w:num w:numId="12" w16cid:durableId="942299018">
    <w:abstractNumId w:val="2"/>
  </w:num>
  <w:num w:numId="13" w16cid:durableId="202967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14D7F"/>
    <w:rsid w:val="00031AF5"/>
    <w:rsid w:val="00036D84"/>
    <w:rsid w:val="00037227"/>
    <w:rsid w:val="0003774E"/>
    <w:rsid w:val="0009369B"/>
    <w:rsid w:val="000A02B3"/>
    <w:rsid w:val="000A5399"/>
    <w:rsid w:val="000B10E0"/>
    <w:rsid w:val="000B18A1"/>
    <w:rsid w:val="000C5F91"/>
    <w:rsid w:val="000D4CFB"/>
    <w:rsid w:val="001014AD"/>
    <w:rsid w:val="0010392F"/>
    <w:rsid w:val="00104064"/>
    <w:rsid w:val="00106AF6"/>
    <w:rsid w:val="00111DB8"/>
    <w:rsid w:val="00116915"/>
    <w:rsid w:val="001170F1"/>
    <w:rsid w:val="00122DA9"/>
    <w:rsid w:val="001237E5"/>
    <w:rsid w:val="00124376"/>
    <w:rsid w:val="00127C8F"/>
    <w:rsid w:val="0013071E"/>
    <w:rsid w:val="001359F1"/>
    <w:rsid w:val="00152F6B"/>
    <w:rsid w:val="00156BDA"/>
    <w:rsid w:val="00156EF4"/>
    <w:rsid w:val="00185A35"/>
    <w:rsid w:val="001861A7"/>
    <w:rsid w:val="00192C0E"/>
    <w:rsid w:val="00195F8B"/>
    <w:rsid w:val="001B05E8"/>
    <w:rsid w:val="001B15AB"/>
    <w:rsid w:val="001B29A6"/>
    <w:rsid w:val="001B7341"/>
    <w:rsid w:val="001D1B9B"/>
    <w:rsid w:val="001D2A3E"/>
    <w:rsid w:val="001E56F9"/>
    <w:rsid w:val="001E6717"/>
    <w:rsid w:val="001F2B0D"/>
    <w:rsid w:val="0021173B"/>
    <w:rsid w:val="00234782"/>
    <w:rsid w:val="00236111"/>
    <w:rsid w:val="00243229"/>
    <w:rsid w:val="00271D14"/>
    <w:rsid w:val="0027763F"/>
    <w:rsid w:val="0027797E"/>
    <w:rsid w:val="00282196"/>
    <w:rsid w:val="002947F8"/>
    <w:rsid w:val="002A7AE3"/>
    <w:rsid w:val="002C12B9"/>
    <w:rsid w:val="002C1C79"/>
    <w:rsid w:val="002D0DB9"/>
    <w:rsid w:val="002D25D3"/>
    <w:rsid w:val="002D3DD8"/>
    <w:rsid w:val="002D6FC3"/>
    <w:rsid w:val="002E4675"/>
    <w:rsid w:val="002F038A"/>
    <w:rsid w:val="002F33E5"/>
    <w:rsid w:val="003161FE"/>
    <w:rsid w:val="00317D35"/>
    <w:rsid w:val="00325E09"/>
    <w:rsid w:val="00327643"/>
    <w:rsid w:val="00336273"/>
    <w:rsid w:val="003450E7"/>
    <w:rsid w:val="00362BA4"/>
    <w:rsid w:val="00362C14"/>
    <w:rsid w:val="00380786"/>
    <w:rsid w:val="00383303"/>
    <w:rsid w:val="0038655A"/>
    <w:rsid w:val="00395A9E"/>
    <w:rsid w:val="003A0125"/>
    <w:rsid w:val="003A16FE"/>
    <w:rsid w:val="003A2E8E"/>
    <w:rsid w:val="003B613F"/>
    <w:rsid w:val="003C2F7C"/>
    <w:rsid w:val="003E1D33"/>
    <w:rsid w:val="003E3538"/>
    <w:rsid w:val="003E64D7"/>
    <w:rsid w:val="003E650C"/>
    <w:rsid w:val="0040106B"/>
    <w:rsid w:val="0040525E"/>
    <w:rsid w:val="004076BC"/>
    <w:rsid w:val="00414D5A"/>
    <w:rsid w:val="004168D5"/>
    <w:rsid w:val="00420830"/>
    <w:rsid w:val="00422457"/>
    <w:rsid w:val="0042367C"/>
    <w:rsid w:val="00425A1E"/>
    <w:rsid w:val="00425C0B"/>
    <w:rsid w:val="004315E3"/>
    <w:rsid w:val="00440B73"/>
    <w:rsid w:val="00446D73"/>
    <w:rsid w:val="0045754C"/>
    <w:rsid w:val="00460290"/>
    <w:rsid w:val="00462B18"/>
    <w:rsid w:val="00467CE2"/>
    <w:rsid w:val="00481ECC"/>
    <w:rsid w:val="004846A7"/>
    <w:rsid w:val="00485939"/>
    <w:rsid w:val="00490711"/>
    <w:rsid w:val="0049440D"/>
    <w:rsid w:val="004B49C9"/>
    <w:rsid w:val="004D277D"/>
    <w:rsid w:val="004D5A30"/>
    <w:rsid w:val="004E1391"/>
    <w:rsid w:val="004F3CAC"/>
    <w:rsid w:val="0050259F"/>
    <w:rsid w:val="00536FBB"/>
    <w:rsid w:val="00546212"/>
    <w:rsid w:val="0056238B"/>
    <w:rsid w:val="00580538"/>
    <w:rsid w:val="0058058D"/>
    <w:rsid w:val="0058467A"/>
    <w:rsid w:val="005A0936"/>
    <w:rsid w:val="005A1FA9"/>
    <w:rsid w:val="005A7EF5"/>
    <w:rsid w:val="005C181C"/>
    <w:rsid w:val="005C4033"/>
    <w:rsid w:val="005D0965"/>
    <w:rsid w:val="005D1BB2"/>
    <w:rsid w:val="005D5E07"/>
    <w:rsid w:val="005E15A6"/>
    <w:rsid w:val="005E5262"/>
    <w:rsid w:val="005F6BD9"/>
    <w:rsid w:val="00633E5A"/>
    <w:rsid w:val="0063525E"/>
    <w:rsid w:val="00636CD2"/>
    <w:rsid w:val="006377F7"/>
    <w:rsid w:val="00644CD3"/>
    <w:rsid w:val="0064792D"/>
    <w:rsid w:val="00650874"/>
    <w:rsid w:val="006520AD"/>
    <w:rsid w:val="0065232D"/>
    <w:rsid w:val="00653337"/>
    <w:rsid w:val="00656652"/>
    <w:rsid w:val="00662E1E"/>
    <w:rsid w:val="00670EC6"/>
    <w:rsid w:val="00675F7E"/>
    <w:rsid w:val="006856D6"/>
    <w:rsid w:val="00690E8A"/>
    <w:rsid w:val="0069296B"/>
    <w:rsid w:val="006935CE"/>
    <w:rsid w:val="00694B1D"/>
    <w:rsid w:val="0069530D"/>
    <w:rsid w:val="006A210E"/>
    <w:rsid w:val="006B3307"/>
    <w:rsid w:val="006B45BD"/>
    <w:rsid w:val="006D51DA"/>
    <w:rsid w:val="006E2B82"/>
    <w:rsid w:val="006E70BB"/>
    <w:rsid w:val="006F4939"/>
    <w:rsid w:val="0071022C"/>
    <w:rsid w:val="00712D24"/>
    <w:rsid w:val="00715F47"/>
    <w:rsid w:val="007308BD"/>
    <w:rsid w:val="0073569D"/>
    <w:rsid w:val="00735A39"/>
    <w:rsid w:val="00737781"/>
    <w:rsid w:val="007412DC"/>
    <w:rsid w:val="0074133F"/>
    <w:rsid w:val="00746C70"/>
    <w:rsid w:val="00756D3E"/>
    <w:rsid w:val="007625F8"/>
    <w:rsid w:val="00767B4A"/>
    <w:rsid w:val="007732D7"/>
    <w:rsid w:val="007745CF"/>
    <w:rsid w:val="007838E8"/>
    <w:rsid w:val="007A0C76"/>
    <w:rsid w:val="007A2386"/>
    <w:rsid w:val="007A294E"/>
    <w:rsid w:val="007B1CA3"/>
    <w:rsid w:val="007B2EE6"/>
    <w:rsid w:val="007B6488"/>
    <w:rsid w:val="007B653E"/>
    <w:rsid w:val="007B7B99"/>
    <w:rsid w:val="007C1AA0"/>
    <w:rsid w:val="007C3BDC"/>
    <w:rsid w:val="007D1620"/>
    <w:rsid w:val="007D4CAB"/>
    <w:rsid w:val="007D6E1D"/>
    <w:rsid w:val="007D789D"/>
    <w:rsid w:val="007E64A4"/>
    <w:rsid w:val="007E7964"/>
    <w:rsid w:val="007F283F"/>
    <w:rsid w:val="007F4EC3"/>
    <w:rsid w:val="00801CA1"/>
    <w:rsid w:val="00802507"/>
    <w:rsid w:val="00807B9D"/>
    <w:rsid w:val="008117C7"/>
    <w:rsid w:val="00814A81"/>
    <w:rsid w:val="008231F8"/>
    <w:rsid w:val="0082397F"/>
    <w:rsid w:val="0082608D"/>
    <w:rsid w:val="008317A5"/>
    <w:rsid w:val="00831D99"/>
    <w:rsid w:val="008436AD"/>
    <w:rsid w:val="00843AF9"/>
    <w:rsid w:val="00845E0F"/>
    <w:rsid w:val="008463FB"/>
    <w:rsid w:val="008B1EE6"/>
    <w:rsid w:val="008B2958"/>
    <w:rsid w:val="008C23C7"/>
    <w:rsid w:val="008F0D6E"/>
    <w:rsid w:val="00900C9C"/>
    <w:rsid w:val="009316C7"/>
    <w:rsid w:val="009355EF"/>
    <w:rsid w:val="0094428F"/>
    <w:rsid w:val="00945685"/>
    <w:rsid w:val="009556C3"/>
    <w:rsid w:val="0096495D"/>
    <w:rsid w:val="009666D3"/>
    <w:rsid w:val="00971662"/>
    <w:rsid w:val="00977831"/>
    <w:rsid w:val="00982BC6"/>
    <w:rsid w:val="009875DD"/>
    <w:rsid w:val="00995F0B"/>
    <w:rsid w:val="009C3EA1"/>
    <w:rsid w:val="009D339D"/>
    <w:rsid w:val="009E1D12"/>
    <w:rsid w:val="009E1F0F"/>
    <w:rsid w:val="009E2DAD"/>
    <w:rsid w:val="009F3B04"/>
    <w:rsid w:val="00A03D91"/>
    <w:rsid w:val="00A07C2A"/>
    <w:rsid w:val="00A12099"/>
    <w:rsid w:val="00A12A66"/>
    <w:rsid w:val="00A2548B"/>
    <w:rsid w:val="00A33FBD"/>
    <w:rsid w:val="00A52BF3"/>
    <w:rsid w:val="00A62F4F"/>
    <w:rsid w:val="00A63783"/>
    <w:rsid w:val="00A63ED1"/>
    <w:rsid w:val="00A653BF"/>
    <w:rsid w:val="00A67EFB"/>
    <w:rsid w:val="00A71C9D"/>
    <w:rsid w:val="00A82068"/>
    <w:rsid w:val="00A94B08"/>
    <w:rsid w:val="00AA4A36"/>
    <w:rsid w:val="00AC0BB0"/>
    <w:rsid w:val="00AD2E22"/>
    <w:rsid w:val="00AD412D"/>
    <w:rsid w:val="00AD4F1C"/>
    <w:rsid w:val="00AD4FED"/>
    <w:rsid w:val="00AF0C4A"/>
    <w:rsid w:val="00B07827"/>
    <w:rsid w:val="00B12AB3"/>
    <w:rsid w:val="00B16FB8"/>
    <w:rsid w:val="00B24705"/>
    <w:rsid w:val="00B4297B"/>
    <w:rsid w:val="00B52302"/>
    <w:rsid w:val="00B71DAB"/>
    <w:rsid w:val="00B826E2"/>
    <w:rsid w:val="00BA52B7"/>
    <w:rsid w:val="00BB38FC"/>
    <w:rsid w:val="00BB6035"/>
    <w:rsid w:val="00BC34A7"/>
    <w:rsid w:val="00BD0E61"/>
    <w:rsid w:val="00BD26EB"/>
    <w:rsid w:val="00BD28BA"/>
    <w:rsid w:val="00BE35E3"/>
    <w:rsid w:val="00BE3965"/>
    <w:rsid w:val="00C0768B"/>
    <w:rsid w:val="00C108F6"/>
    <w:rsid w:val="00C13DE2"/>
    <w:rsid w:val="00C15DC1"/>
    <w:rsid w:val="00C16D94"/>
    <w:rsid w:val="00C3177E"/>
    <w:rsid w:val="00C33309"/>
    <w:rsid w:val="00C42C91"/>
    <w:rsid w:val="00C47EDB"/>
    <w:rsid w:val="00C52D10"/>
    <w:rsid w:val="00C61D28"/>
    <w:rsid w:val="00C6276B"/>
    <w:rsid w:val="00C71CDE"/>
    <w:rsid w:val="00C72AE8"/>
    <w:rsid w:val="00C87C4C"/>
    <w:rsid w:val="00C90C98"/>
    <w:rsid w:val="00CA7331"/>
    <w:rsid w:val="00CC10E7"/>
    <w:rsid w:val="00CC7C87"/>
    <w:rsid w:val="00CD29BA"/>
    <w:rsid w:val="00CE2795"/>
    <w:rsid w:val="00CE3120"/>
    <w:rsid w:val="00CE7CBD"/>
    <w:rsid w:val="00D016FE"/>
    <w:rsid w:val="00D10C0B"/>
    <w:rsid w:val="00D134CB"/>
    <w:rsid w:val="00D15770"/>
    <w:rsid w:val="00D26E47"/>
    <w:rsid w:val="00D34C57"/>
    <w:rsid w:val="00D35C87"/>
    <w:rsid w:val="00D46981"/>
    <w:rsid w:val="00D50236"/>
    <w:rsid w:val="00D53F7A"/>
    <w:rsid w:val="00D75AF0"/>
    <w:rsid w:val="00D83D6D"/>
    <w:rsid w:val="00DA106D"/>
    <w:rsid w:val="00DD173A"/>
    <w:rsid w:val="00DD48A8"/>
    <w:rsid w:val="00DE6573"/>
    <w:rsid w:val="00DF3A53"/>
    <w:rsid w:val="00E12FEE"/>
    <w:rsid w:val="00E15541"/>
    <w:rsid w:val="00E16E89"/>
    <w:rsid w:val="00E315E3"/>
    <w:rsid w:val="00E55A2B"/>
    <w:rsid w:val="00E61325"/>
    <w:rsid w:val="00E657BF"/>
    <w:rsid w:val="00E66B67"/>
    <w:rsid w:val="00E76AED"/>
    <w:rsid w:val="00E94B02"/>
    <w:rsid w:val="00EB2A68"/>
    <w:rsid w:val="00EB7250"/>
    <w:rsid w:val="00EC3AEB"/>
    <w:rsid w:val="00EC6439"/>
    <w:rsid w:val="00ED1C14"/>
    <w:rsid w:val="00ED2536"/>
    <w:rsid w:val="00F04A48"/>
    <w:rsid w:val="00F05B6C"/>
    <w:rsid w:val="00F11031"/>
    <w:rsid w:val="00F113C2"/>
    <w:rsid w:val="00F20ED7"/>
    <w:rsid w:val="00F25A3A"/>
    <w:rsid w:val="00F25CAC"/>
    <w:rsid w:val="00F27D06"/>
    <w:rsid w:val="00F30A9F"/>
    <w:rsid w:val="00F40D97"/>
    <w:rsid w:val="00F5264D"/>
    <w:rsid w:val="00F63EF1"/>
    <w:rsid w:val="00F66C10"/>
    <w:rsid w:val="00F8524D"/>
    <w:rsid w:val="00F94820"/>
    <w:rsid w:val="00F94F2D"/>
    <w:rsid w:val="00F965D7"/>
    <w:rsid w:val="00FB3426"/>
    <w:rsid w:val="00FC7F0E"/>
    <w:rsid w:val="00FD7369"/>
    <w:rsid w:val="00FE54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ina@mindthepop.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iegexpo.it"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mailto:stefano@mindthepop.it" TargetMode="External"/><Relationship Id="rId4" Type="http://schemas.openxmlformats.org/officeDocument/2006/relationships/webSettings" Target="webSettings.xml"/><Relationship Id="rId9"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992</Words>
  <Characters>5660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Martina Vacca</cp:lastModifiedBy>
  <cp:revision>12</cp:revision>
  <cp:lastPrinted>2025-05-14T14:44:00Z</cp:lastPrinted>
  <dcterms:created xsi:type="dcterms:W3CDTF">2025-11-07T10:14:00Z</dcterms:created>
  <dcterms:modified xsi:type="dcterms:W3CDTF">2025-11-10T10:27:00Z</dcterms:modified>
</cp:coreProperties>
</file>